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40" w:rsidRPr="000B3847" w:rsidRDefault="00181B01" w:rsidP="00EC18A1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F457B0" wp14:editId="47D4D287">
            <wp:simplePos x="0" y="0"/>
            <wp:positionH relativeFrom="column">
              <wp:posOffset>4666615</wp:posOffset>
            </wp:positionH>
            <wp:positionV relativeFrom="paragraph">
              <wp:posOffset>-12065</wp:posOffset>
            </wp:positionV>
            <wp:extent cx="1449070" cy="866775"/>
            <wp:effectExtent l="0" t="0" r="0" b="0"/>
            <wp:wrapSquare wrapText="bothSides"/>
            <wp:docPr id="1" name="Рисунок 1" descr="con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434F1252" wp14:editId="4B7EB053">
            <wp:simplePos x="0" y="0"/>
            <wp:positionH relativeFrom="margin">
              <wp:posOffset>-67310</wp:posOffset>
            </wp:positionH>
            <wp:positionV relativeFrom="margin">
              <wp:posOffset>-59690</wp:posOffset>
            </wp:positionV>
            <wp:extent cx="1362710" cy="828675"/>
            <wp:effectExtent l="19050" t="0" r="8890" b="0"/>
            <wp:wrapSquare wrapText="bothSides"/>
            <wp:docPr id="2" name="Рисунок 1" descr="D:\Katya\Katya's working files\Компании и проекты\Саммит-2014\Графика\Summit_logo_2014-eng-300x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\Katya's working files\Компании и проекты\Саммит-2014\Графика\Summit_logo_2014-eng-300x1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B40">
        <w:rPr>
          <w:rFonts w:ascii="Arial" w:hAnsi="Arial" w:cs="Arial"/>
          <w:b/>
          <w:color w:val="222222"/>
          <w:sz w:val="24"/>
          <w:szCs w:val="24"/>
          <w:lang w:val="en-US"/>
        </w:rPr>
        <w:t>X</w:t>
      </w:r>
      <w:r w:rsidR="00160B40">
        <w:rPr>
          <w:rFonts w:ascii="Arial" w:hAnsi="Arial" w:cs="Arial"/>
          <w:b/>
          <w:color w:val="222222"/>
          <w:sz w:val="24"/>
          <w:szCs w:val="24"/>
        </w:rPr>
        <w:t xml:space="preserve"> Московский</w:t>
      </w:r>
      <w:r w:rsidR="00160B40" w:rsidRPr="000B3847">
        <w:rPr>
          <w:rFonts w:ascii="Arial" w:hAnsi="Arial" w:cs="Arial"/>
          <w:b/>
          <w:color w:val="222222"/>
          <w:sz w:val="24"/>
          <w:szCs w:val="24"/>
        </w:rPr>
        <w:t xml:space="preserve"> международный химический саммит</w:t>
      </w:r>
    </w:p>
    <w:p w:rsidR="00BC48FF" w:rsidRDefault="00160B40" w:rsidP="00BC48FF">
      <w:pPr>
        <w:shd w:val="clear" w:color="auto" w:fill="FFFFFF"/>
        <w:tabs>
          <w:tab w:val="left" w:pos="1976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393409">
        <w:rPr>
          <w:rFonts w:ascii="Arial" w:hAnsi="Arial" w:cs="Arial"/>
          <w:color w:val="222222"/>
          <w:sz w:val="20"/>
          <w:szCs w:val="20"/>
        </w:rPr>
        <w:t>8-499-767-19-06, 8-926-323-73-95</w:t>
      </w:r>
      <w:r w:rsidR="00BC48FF" w:rsidRPr="00BC48FF">
        <w:rPr>
          <w:rFonts w:ascii="Arial" w:hAnsi="Arial" w:cs="Arial"/>
          <w:color w:val="222222"/>
          <w:sz w:val="20"/>
          <w:szCs w:val="20"/>
        </w:rPr>
        <w:t xml:space="preserve">, </w:t>
      </w:r>
      <w:r w:rsidR="00BC48FF">
        <w:rPr>
          <w:rFonts w:ascii="Arial" w:hAnsi="Arial" w:cs="Arial"/>
          <w:color w:val="222222"/>
          <w:sz w:val="20"/>
          <w:szCs w:val="20"/>
          <w:lang w:val="en-US"/>
        </w:rPr>
        <w:t>w</w:t>
      </w:r>
      <w:r w:rsidR="00BC48FF" w:rsidRPr="0066680A">
        <w:rPr>
          <w:rFonts w:ascii="Arial" w:hAnsi="Arial" w:cs="Arial"/>
          <w:color w:val="222222"/>
          <w:sz w:val="20"/>
          <w:szCs w:val="20"/>
          <w:lang w:val="en-US"/>
        </w:rPr>
        <w:t>ww</w:t>
      </w:r>
      <w:r w:rsidR="00BC48FF" w:rsidRPr="0066680A">
        <w:rPr>
          <w:rFonts w:ascii="Arial" w:hAnsi="Arial" w:cs="Arial"/>
          <w:color w:val="222222"/>
          <w:sz w:val="20"/>
          <w:szCs w:val="20"/>
        </w:rPr>
        <w:t>.</w:t>
      </w:r>
      <w:proofErr w:type="spellStart"/>
      <w:r w:rsidR="00BC48FF" w:rsidRPr="0066680A">
        <w:rPr>
          <w:rFonts w:ascii="Arial" w:hAnsi="Arial" w:cs="Arial"/>
          <w:color w:val="222222"/>
          <w:sz w:val="20"/>
          <w:szCs w:val="20"/>
          <w:lang w:val="en-US"/>
        </w:rPr>
        <w:t>chemsummit</w:t>
      </w:r>
      <w:proofErr w:type="spellEnd"/>
      <w:r w:rsidR="00BC48FF" w:rsidRPr="0066680A">
        <w:rPr>
          <w:rFonts w:ascii="Arial" w:hAnsi="Arial" w:cs="Arial"/>
          <w:color w:val="222222"/>
          <w:sz w:val="20"/>
          <w:szCs w:val="20"/>
        </w:rPr>
        <w:t>.</w:t>
      </w:r>
      <w:proofErr w:type="spellStart"/>
      <w:r w:rsidR="00BC48FF" w:rsidRPr="0066680A">
        <w:rPr>
          <w:rFonts w:ascii="Arial" w:hAnsi="Arial" w:cs="Arial"/>
          <w:color w:val="222222"/>
          <w:sz w:val="20"/>
          <w:szCs w:val="20"/>
          <w:lang w:val="en-US"/>
        </w:rPr>
        <w:t>ru</w:t>
      </w:r>
      <w:bookmarkStart w:id="0" w:name="_GoBack"/>
      <w:bookmarkEnd w:id="0"/>
      <w:proofErr w:type="spellEnd"/>
    </w:p>
    <w:p w:rsidR="00160B40" w:rsidRPr="00BC48FF" w:rsidRDefault="00160B40" w:rsidP="001750DA">
      <w:pPr>
        <w:shd w:val="clear" w:color="auto" w:fill="FFFFFF"/>
        <w:tabs>
          <w:tab w:val="left" w:pos="1976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8-9 октября 2014 года</w:t>
      </w:r>
    </w:p>
    <w:p w:rsidR="00160B40" w:rsidRDefault="00160B40" w:rsidP="00160B40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lang w:eastAsia="ru-RU"/>
        </w:rPr>
      </w:pPr>
    </w:p>
    <w:p w:rsidR="00160B40" w:rsidRDefault="00160B40" w:rsidP="00160B4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3B7C7F" w:rsidRDefault="003B7C7F" w:rsidP="00160B4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3B7C7F" w:rsidRPr="00181B01" w:rsidRDefault="00181B01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ru-RU"/>
        </w:rPr>
      </w:pPr>
      <w:r w:rsidRPr="00181B01">
        <w:rPr>
          <w:rFonts w:ascii="Arial" w:hAnsi="Arial" w:cs="Arial"/>
          <w:b/>
          <w:color w:val="222222"/>
          <w:sz w:val="24"/>
          <w:szCs w:val="24"/>
          <w:lang w:eastAsia="ru-RU"/>
        </w:rPr>
        <w:t>Главы регионов обсудят в Госдуме, как удвоить производство и потребление полимеров в России</w:t>
      </w:r>
    </w:p>
    <w:p w:rsidR="00181B01" w:rsidRDefault="00181B01" w:rsidP="00181B01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0"/>
          <w:szCs w:val="20"/>
        </w:rPr>
        <w:t>23 Сентябрь, 2014</w:t>
      </w:r>
      <w:r>
        <w:t xml:space="preserve"> </w:t>
      </w:r>
    </w:p>
    <w:p w:rsidR="00181B01" w:rsidRDefault="00181B01" w:rsidP="00181B01">
      <w:pPr>
        <w:pStyle w:val="ab"/>
        <w:jc w:val="both"/>
      </w:pPr>
      <w:r>
        <w:rPr>
          <w:rStyle w:val="ac"/>
        </w:rPr>
        <w:t>Москва</w:t>
      </w:r>
    </w:p>
    <w:p w:rsidR="00181B01" w:rsidRDefault="00181B01" w:rsidP="00181B01">
      <w:pPr>
        <w:pStyle w:val="ab"/>
        <w:jc w:val="both"/>
      </w:pPr>
      <w:r>
        <w:t>8 октября 2014 года Комитет по энергетике Госдумы проводит совещание глав промышленных регионов РФ по теме «Развитие производства и потребления продукции нефтегазохимии в регионах РФ». Совещание проходит в рамках ежегодного, 10-го Московского международного химического саммита (8-9 октября 2014 г., Охотный ряд, д. 1).</w:t>
      </w:r>
    </w:p>
    <w:p w:rsidR="00181B01" w:rsidRDefault="00181B01" w:rsidP="00181B01">
      <w:pPr>
        <w:pStyle w:val="ab"/>
        <w:jc w:val="both"/>
      </w:pPr>
      <w:r>
        <w:rPr>
          <w:rStyle w:val="ac"/>
        </w:rPr>
        <w:t xml:space="preserve">Совещание глав регионов ставит перед собой задачу быстрого, в течение 1-3 лет, увеличения емкости российского рынка полимеров. </w:t>
      </w:r>
    </w:p>
    <w:p w:rsidR="00181B01" w:rsidRDefault="00181B01" w:rsidP="00181B01">
      <w:pPr>
        <w:pStyle w:val="ab"/>
        <w:jc w:val="both"/>
      </w:pPr>
      <w:r>
        <w:t xml:space="preserve">Известно, что по уровню потребления полимеров на душу населения Россия в 1,5-2,5 раза отстает от развитых стран. Отставание это является в значительной мере искусственным. Крупнотоннажными секторами, определяющими уровень потребления, являются дорожное строительство и трубы для водоснабжения </w:t>
      </w:r>
      <w:proofErr w:type="gramStart"/>
      <w:r>
        <w:t>в  ЖКХ</w:t>
      </w:r>
      <w:proofErr w:type="gramEnd"/>
      <w:r>
        <w:t>.</w:t>
      </w:r>
    </w:p>
    <w:p w:rsidR="00181B01" w:rsidRDefault="00181B01" w:rsidP="00181B01">
      <w:pPr>
        <w:pStyle w:val="ab"/>
        <w:jc w:val="both"/>
      </w:pPr>
      <w:r>
        <w:t xml:space="preserve">Российские дороги по-прежнему строятся без применения или с ограниченным применением </w:t>
      </w:r>
      <w:proofErr w:type="spellStart"/>
      <w:r>
        <w:t>геосеток</w:t>
      </w:r>
      <w:proofErr w:type="spellEnd"/>
      <w:r>
        <w:t xml:space="preserve">, </w:t>
      </w:r>
      <w:proofErr w:type="spellStart"/>
      <w:r>
        <w:t>георешеток</w:t>
      </w:r>
      <w:proofErr w:type="spellEnd"/>
      <w:r>
        <w:t>, полимерных битумов (применение в обоснованном объеме могло бы увеличить межремонтный период службы полотна с 1 до 5 лет и повысило бы качество дороги).</w:t>
      </w:r>
    </w:p>
    <w:p w:rsidR="00181B01" w:rsidRDefault="00181B01" w:rsidP="00181B01">
      <w:pPr>
        <w:pStyle w:val="ab"/>
        <w:jc w:val="both"/>
      </w:pPr>
      <w:r>
        <w:t xml:space="preserve">Муниципалитеты, теплоснабжающие организации и водоканалы применяют главным образом чугунные трубы вместо принятых в Европе полимерных аналогов. Это приводит к значительным </w:t>
      </w:r>
      <w:proofErr w:type="spellStart"/>
      <w:r>
        <w:t>теплопотерям</w:t>
      </w:r>
      <w:proofErr w:type="spellEnd"/>
      <w:r>
        <w:t>, снижению качества питьевой воды и существенному увеличению средств, выделяемых на ремонт сетей (межремонтный период для чугунных труб составляет 1-2 года, для полимерных – 50 лет).</w:t>
      </w:r>
    </w:p>
    <w:p w:rsidR="00181B01" w:rsidRDefault="00181B01" w:rsidP="00181B01">
      <w:pPr>
        <w:pStyle w:val="ab"/>
        <w:jc w:val="both"/>
      </w:pPr>
      <w:r>
        <w:t xml:space="preserve">В то же время, в мире применение «полимерных решений» в секторе дорог и ЖКХ обусловлено существованием </w:t>
      </w:r>
      <w:r>
        <w:rPr>
          <w:rStyle w:val="ae"/>
        </w:rPr>
        <w:t>обязательного стандарта</w:t>
      </w:r>
      <w:r>
        <w:t xml:space="preserve">, невыполнение которого строго наказуемо для компании-исполнителя и заказчика. Единовременное </w:t>
      </w:r>
      <w:r>
        <w:rPr>
          <w:rStyle w:val="ae"/>
        </w:rPr>
        <w:t>принятие соответствующего Технического регламента в России в статусе Федерального закона</w:t>
      </w:r>
      <w:r>
        <w:t xml:space="preserve"> увеличит емкость рынка полимеров по крайней мере в 2 раза.</w:t>
      </w:r>
    </w:p>
    <w:p w:rsidR="00181B01" w:rsidRDefault="00181B01" w:rsidP="00181B01">
      <w:pPr>
        <w:pStyle w:val="ab"/>
        <w:jc w:val="both"/>
      </w:pPr>
      <w:r>
        <w:t xml:space="preserve">Смогут ли производители ответить на этот вызов? «Да», — отвечают предприятия. На заседаниях химического саммита производители </w:t>
      </w:r>
      <w:proofErr w:type="spellStart"/>
      <w:r>
        <w:t>георешеток</w:t>
      </w:r>
      <w:proofErr w:type="spellEnd"/>
      <w:r>
        <w:t>, полимеризованных битумов («</w:t>
      </w:r>
      <w:proofErr w:type="spellStart"/>
      <w:r>
        <w:t>Сибур</w:t>
      </w:r>
      <w:proofErr w:type="spellEnd"/>
      <w:r>
        <w:t>», 50% российских НПЗ), производители полимеров трубных марок и труб для ЖКХ («</w:t>
      </w:r>
      <w:proofErr w:type="spellStart"/>
      <w:r>
        <w:t>Салаватнефтеоргсинтез</w:t>
      </w:r>
      <w:proofErr w:type="spellEnd"/>
      <w:r>
        <w:t>», «Казаньоргсинтез», «</w:t>
      </w:r>
      <w:proofErr w:type="spellStart"/>
      <w:r>
        <w:t>Полипластик</w:t>
      </w:r>
      <w:proofErr w:type="spellEnd"/>
      <w:r>
        <w:t xml:space="preserve">» и др.; в России около 100 трубных </w:t>
      </w:r>
      <w:proofErr w:type="gramStart"/>
      <w:r>
        <w:t>заводов)  –</w:t>
      </w:r>
      <w:proofErr w:type="gramEnd"/>
      <w:r>
        <w:t xml:space="preserve"> неоднократно заявляли, что производственные мощности по направлениям недогружены на 40-60 % или могут быть существенно увеличены в короткие сроки.</w:t>
      </w:r>
    </w:p>
    <w:p w:rsidR="00181B01" w:rsidRDefault="00181B01" w:rsidP="00181B01">
      <w:pPr>
        <w:pStyle w:val="ab"/>
        <w:jc w:val="both"/>
      </w:pPr>
      <w:r>
        <w:t xml:space="preserve">Одновременно с мерами, направленными на восстановление российского рынка полимеров, главам регионов – участникам совещания предлагается ряд шагов, направленных на </w:t>
      </w:r>
      <w:r>
        <w:lastRenderedPageBreak/>
        <w:t>интенсивное развитие внутренней переработки полимеров. В частности, проведен анализ таможенной базы импорта готовых изделий из полимеров и определены секторы переработки, в которых на сегодняшний день оправданно создание крупных единичных мощностей по выпуску готовых изделий.</w:t>
      </w:r>
    </w:p>
    <w:p w:rsidR="00181B01" w:rsidRDefault="00181B01" w:rsidP="00181B01">
      <w:pPr>
        <w:pStyle w:val="ab"/>
        <w:jc w:val="both"/>
      </w:pPr>
      <w:r>
        <w:t>Например, Россия почти в полном объеме импортирует одноразовые шприцы и посуду медицинского назначения, но шприцы и баночки для лекарств зарубежного производства настолько дешевы, что конкурировать с ними сможет только одно, но очень крупное предприятие, построенное в России.</w:t>
      </w:r>
    </w:p>
    <w:p w:rsidR="00181B01" w:rsidRDefault="00181B01" w:rsidP="00181B01">
      <w:pPr>
        <w:pStyle w:val="ab"/>
        <w:jc w:val="both"/>
      </w:pPr>
      <w:r>
        <w:t>Аналогичным образом обстоят дела с функциональными добавками к полимерам и инженерными пластиками.</w:t>
      </w:r>
    </w:p>
    <w:p w:rsidR="00181B01" w:rsidRDefault="00181B01" w:rsidP="00181B01">
      <w:pPr>
        <w:pStyle w:val="ab"/>
        <w:jc w:val="both"/>
      </w:pPr>
      <w:r>
        <w:t>Оргкомитет ММХС на основе произведенного анализа базы данных импорта функциональных добавок, инженерных пластиков и готовых изделий предлагает принять дорожную карту, создающую преференции для импортозамещающих производств подготовленного перечня и компаний, инвестирующих в их создание. Размещение подобных производств должно стать результатом соглашения между промышленными регионами, поскольку внутренняя конкуренция в значительном числе случаев уничтожает идею ценовой конкурентоспособности российского предприятия в сравнении с зарубежными поставщиками.</w:t>
      </w:r>
    </w:p>
    <w:p w:rsidR="00181B01" w:rsidRDefault="00181B01" w:rsidP="00181B01">
      <w:pPr>
        <w:pStyle w:val="ab"/>
        <w:jc w:val="both"/>
      </w:pPr>
      <w:r>
        <w:t xml:space="preserve">Анализ механизмов реализации означенных задач проведен экспертами отрасли коллективно в феврале-сентябре 2014 года. Докладчиком по теме экспоненциального увеличения рынка полимеров выступит </w:t>
      </w:r>
      <w:proofErr w:type="spellStart"/>
      <w:r>
        <w:t>Микитаев</w:t>
      </w:r>
      <w:proofErr w:type="spellEnd"/>
      <w:r>
        <w:t xml:space="preserve"> Абдулах </w:t>
      </w:r>
      <w:proofErr w:type="spellStart"/>
      <w:r>
        <w:t>Касбулатович</w:t>
      </w:r>
      <w:proofErr w:type="spellEnd"/>
      <w:r>
        <w:t>, блестящий оратор, видный российский ученый и создатель ряда отечественных полимерных производств, генеральный директор ОАО «</w:t>
      </w:r>
      <w:proofErr w:type="spellStart"/>
      <w:r>
        <w:t>Макполимер</w:t>
      </w:r>
      <w:proofErr w:type="spellEnd"/>
      <w:r>
        <w:t>».</w:t>
      </w:r>
    </w:p>
    <w:p w:rsidR="00181B01" w:rsidRDefault="00181B01" w:rsidP="00181B01">
      <w:pPr>
        <w:pStyle w:val="ab"/>
        <w:jc w:val="both"/>
      </w:pPr>
      <w:r>
        <w:rPr>
          <w:rStyle w:val="ac"/>
        </w:rPr>
        <w:t>Приложение: </w:t>
      </w:r>
      <w:hyperlink r:id="rId10" w:history="1">
        <w:r>
          <w:rPr>
            <w:rStyle w:val="aa"/>
            <w:i/>
            <w:iCs/>
          </w:rPr>
          <w:t>Справка к совещанию глав регионов в рамках X Московского международного химического саммита.</w:t>
        </w:r>
      </w:hyperlink>
    </w:p>
    <w:p w:rsidR="00181B01" w:rsidRDefault="00181B01" w:rsidP="00181B01">
      <w:pPr>
        <w:pStyle w:val="ab"/>
        <w:jc w:val="both"/>
      </w:pPr>
      <w:r>
        <w:t>————————————————————————————————</w:t>
      </w:r>
    </w:p>
    <w:p w:rsidR="00181B01" w:rsidRDefault="00181B01" w:rsidP="00181B01">
      <w:pPr>
        <w:pStyle w:val="ab"/>
        <w:jc w:val="both"/>
      </w:pPr>
      <w:r>
        <w:t xml:space="preserve">Пресс-служба 10 ММХС: </w:t>
      </w:r>
      <w:hyperlink r:id="rId11" w:history="1">
        <w:r>
          <w:rPr>
            <w:rStyle w:val="aa"/>
          </w:rPr>
          <w:t>press@rccgroup.ru</w:t>
        </w:r>
      </w:hyperlink>
      <w:r>
        <w:t>, 8-916-641-92-52</w:t>
      </w:r>
    </w:p>
    <w:p w:rsidR="00181B01" w:rsidRDefault="00181B01" w:rsidP="00181B01">
      <w:pPr>
        <w:pStyle w:val="ab"/>
        <w:jc w:val="both"/>
      </w:pPr>
      <w:r>
        <w:t xml:space="preserve">Аккредитация на мероприятие: </w:t>
      </w:r>
      <w:hyperlink r:id="rId12" w:history="1">
        <w:r>
          <w:rPr>
            <w:rStyle w:val="aa"/>
          </w:rPr>
          <w:t>www.chemsummit.ru/pressa/smi/</w:t>
        </w:r>
      </w:hyperlink>
    </w:p>
    <w:p w:rsidR="00160B40" w:rsidRDefault="00160B40" w:rsidP="003B7C7F">
      <w:pPr>
        <w:shd w:val="clear" w:color="auto" w:fill="FFFFFF"/>
        <w:spacing w:after="0" w:line="240" w:lineRule="auto"/>
        <w:ind w:right="283"/>
        <w:jc w:val="both"/>
        <w:rPr>
          <w:rFonts w:ascii="Arial" w:hAnsi="Arial" w:cs="Arial"/>
          <w:color w:val="222222"/>
          <w:sz w:val="28"/>
          <w:szCs w:val="28"/>
          <w:lang w:eastAsia="ru-RU"/>
        </w:rPr>
      </w:pPr>
    </w:p>
    <w:p w:rsidR="00160B40" w:rsidRDefault="00160B40" w:rsidP="00160B4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lang w:eastAsia="ru-RU"/>
        </w:rPr>
      </w:pPr>
    </w:p>
    <w:sectPr w:rsidR="00160B40" w:rsidSect="00AE2DA6">
      <w:footerReference w:type="default" r:id="rId13"/>
      <w:pgSz w:w="11906" w:h="16838"/>
      <w:pgMar w:top="709" w:right="850" w:bottom="540" w:left="1276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A3" w:rsidRDefault="003E54A3" w:rsidP="00BE3046">
      <w:pPr>
        <w:spacing w:after="0" w:line="240" w:lineRule="auto"/>
      </w:pPr>
      <w:r>
        <w:separator/>
      </w:r>
    </w:p>
  </w:endnote>
  <w:endnote w:type="continuationSeparator" w:id="0">
    <w:p w:rsidR="003E54A3" w:rsidRDefault="003E54A3" w:rsidP="00BE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8813"/>
      <w:docPartObj>
        <w:docPartGallery w:val="Page Numbers (Bottom of Page)"/>
        <w:docPartUnique/>
      </w:docPartObj>
    </w:sdtPr>
    <w:sdtEndPr/>
    <w:sdtContent>
      <w:p w:rsidR="00235827" w:rsidRDefault="0028727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B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827" w:rsidRDefault="002358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A3" w:rsidRDefault="003E54A3" w:rsidP="00BE3046">
      <w:pPr>
        <w:spacing w:after="0" w:line="240" w:lineRule="auto"/>
      </w:pPr>
      <w:r>
        <w:separator/>
      </w:r>
    </w:p>
  </w:footnote>
  <w:footnote w:type="continuationSeparator" w:id="0">
    <w:p w:rsidR="003E54A3" w:rsidRDefault="003E54A3" w:rsidP="00BE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76848"/>
    <w:multiLevelType w:val="multilevel"/>
    <w:tmpl w:val="DAC8C7D6"/>
    <w:lvl w:ilvl="0">
      <w:start w:val="11"/>
      <w:numFmt w:val="decimal"/>
      <w:lvlText w:val="%1"/>
      <w:lvlJc w:val="left"/>
      <w:pPr>
        <w:ind w:left="1275" w:hanging="127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275" w:hanging="1275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ind w:left="1275" w:hanging="1275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C0A34CC"/>
    <w:multiLevelType w:val="hybridMultilevel"/>
    <w:tmpl w:val="470E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A7A4A"/>
    <w:multiLevelType w:val="multilevel"/>
    <w:tmpl w:val="8F202796"/>
    <w:lvl w:ilvl="0">
      <w:start w:val="11"/>
      <w:numFmt w:val="decimal"/>
      <w:lvlText w:val="%1.0"/>
      <w:lvlJc w:val="left"/>
      <w:pPr>
        <w:ind w:left="132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02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="Times New Roman" w:hint="default"/>
      </w:rPr>
    </w:lvl>
  </w:abstractNum>
  <w:abstractNum w:abstractNumId="3">
    <w:nsid w:val="2DC92BDA"/>
    <w:multiLevelType w:val="multilevel"/>
    <w:tmpl w:val="30B050CE"/>
    <w:lvl w:ilvl="0">
      <w:start w:val="10"/>
      <w:numFmt w:val="decimal"/>
      <w:lvlText w:val="%1"/>
      <w:lvlJc w:val="left"/>
      <w:pPr>
        <w:ind w:left="1275" w:hanging="127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15" w:hanging="1275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ind w:left="1755" w:hanging="1275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ind w:left="1995" w:hanging="127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2235" w:hanging="127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4">
    <w:nsid w:val="4084409D"/>
    <w:multiLevelType w:val="hybridMultilevel"/>
    <w:tmpl w:val="5694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762674"/>
    <w:multiLevelType w:val="multilevel"/>
    <w:tmpl w:val="F864B7F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5"/>
      <w:numFmt w:val="decimalZero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5A1E7A50"/>
    <w:multiLevelType w:val="multilevel"/>
    <w:tmpl w:val="34A2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61BED"/>
    <w:multiLevelType w:val="multilevel"/>
    <w:tmpl w:val="1820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829"/>
    <w:rsid w:val="00000CA3"/>
    <w:rsid w:val="00001829"/>
    <w:rsid w:val="0000324A"/>
    <w:rsid w:val="00054E0B"/>
    <w:rsid w:val="00065020"/>
    <w:rsid w:val="0008768C"/>
    <w:rsid w:val="00097410"/>
    <w:rsid w:val="000B3847"/>
    <w:rsid w:val="000C3AD2"/>
    <w:rsid w:val="000D2BB4"/>
    <w:rsid w:val="000E24C5"/>
    <w:rsid w:val="000F776E"/>
    <w:rsid w:val="000F78F7"/>
    <w:rsid w:val="001159F8"/>
    <w:rsid w:val="00116FCD"/>
    <w:rsid w:val="00123829"/>
    <w:rsid w:val="00140F53"/>
    <w:rsid w:val="00142784"/>
    <w:rsid w:val="00152103"/>
    <w:rsid w:val="001536AD"/>
    <w:rsid w:val="00160B40"/>
    <w:rsid w:val="00167FBE"/>
    <w:rsid w:val="001750DA"/>
    <w:rsid w:val="00181B01"/>
    <w:rsid w:val="00184217"/>
    <w:rsid w:val="0019487C"/>
    <w:rsid w:val="001B2F8A"/>
    <w:rsid w:val="001D20D2"/>
    <w:rsid w:val="001D41B6"/>
    <w:rsid w:val="001E2232"/>
    <w:rsid w:val="001F21C2"/>
    <w:rsid w:val="0020301E"/>
    <w:rsid w:val="00212913"/>
    <w:rsid w:val="0021303E"/>
    <w:rsid w:val="00215DF4"/>
    <w:rsid w:val="00235827"/>
    <w:rsid w:val="002514DE"/>
    <w:rsid w:val="00263273"/>
    <w:rsid w:val="0028727A"/>
    <w:rsid w:val="00290111"/>
    <w:rsid w:val="002D7DC1"/>
    <w:rsid w:val="0030628C"/>
    <w:rsid w:val="0035755C"/>
    <w:rsid w:val="0038636C"/>
    <w:rsid w:val="00386CC8"/>
    <w:rsid w:val="00392A5D"/>
    <w:rsid w:val="00393409"/>
    <w:rsid w:val="003B29D6"/>
    <w:rsid w:val="003B38F3"/>
    <w:rsid w:val="003B7C7F"/>
    <w:rsid w:val="003D420A"/>
    <w:rsid w:val="003E54A3"/>
    <w:rsid w:val="003F745E"/>
    <w:rsid w:val="00406C6E"/>
    <w:rsid w:val="0041232D"/>
    <w:rsid w:val="004125B8"/>
    <w:rsid w:val="004326A2"/>
    <w:rsid w:val="00437E9A"/>
    <w:rsid w:val="00450652"/>
    <w:rsid w:val="00450FD3"/>
    <w:rsid w:val="004A2496"/>
    <w:rsid w:val="004B60C9"/>
    <w:rsid w:val="004C1CE2"/>
    <w:rsid w:val="004C5BEA"/>
    <w:rsid w:val="004D4F7A"/>
    <w:rsid w:val="004E24F5"/>
    <w:rsid w:val="00513162"/>
    <w:rsid w:val="00526C92"/>
    <w:rsid w:val="0055065C"/>
    <w:rsid w:val="005575F2"/>
    <w:rsid w:val="005604F5"/>
    <w:rsid w:val="005633CB"/>
    <w:rsid w:val="00571F1B"/>
    <w:rsid w:val="00573119"/>
    <w:rsid w:val="005875BA"/>
    <w:rsid w:val="005A6F4E"/>
    <w:rsid w:val="005B745F"/>
    <w:rsid w:val="005C0DDB"/>
    <w:rsid w:val="005C592B"/>
    <w:rsid w:val="005E05C2"/>
    <w:rsid w:val="00607926"/>
    <w:rsid w:val="00626C1F"/>
    <w:rsid w:val="00641D6A"/>
    <w:rsid w:val="0066680A"/>
    <w:rsid w:val="00692D21"/>
    <w:rsid w:val="006A0221"/>
    <w:rsid w:val="006C29A1"/>
    <w:rsid w:val="006E5778"/>
    <w:rsid w:val="006F17D5"/>
    <w:rsid w:val="00704029"/>
    <w:rsid w:val="0071095F"/>
    <w:rsid w:val="00746A6B"/>
    <w:rsid w:val="00773E49"/>
    <w:rsid w:val="007750FD"/>
    <w:rsid w:val="007D54E1"/>
    <w:rsid w:val="007D6222"/>
    <w:rsid w:val="00804BEA"/>
    <w:rsid w:val="008237C1"/>
    <w:rsid w:val="008239A6"/>
    <w:rsid w:val="00830BC6"/>
    <w:rsid w:val="0086176C"/>
    <w:rsid w:val="00861E27"/>
    <w:rsid w:val="008629AF"/>
    <w:rsid w:val="008D027A"/>
    <w:rsid w:val="008E3FA0"/>
    <w:rsid w:val="00915849"/>
    <w:rsid w:val="00931F95"/>
    <w:rsid w:val="009412F4"/>
    <w:rsid w:val="00956665"/>
    <w:rsid w:val="00976F48"/>
    <w:rsid w:val="0098228E"/>
    <w:rsid w:val="009A3883"/>
    <w:rsid w:val="009A40FB"/>
    <w:rsid w:val="009C787E"/>
    <w:rsid w:val="009D4439"/>
    <w:rsid w:val="009E788F"/>
    <w:rsid w:val="009F791E"/>
    <w:rsid w:val="00A2513F"/>
    <w:rsid w:val="00A3284D"/>
    <w:rsid w:val="00A376F6"/>
    <w:rsid w:val="00A45ECE"/>
    <w:rsid w:val="00A54451"/>
    <w:rsid w:val="00A70AC9"/>
    <w:rsid w:val="00A713FC"/>
    <w:rsid w:val="00A74255"/>
    <w:rsid w:val="00AB7FCE"/>
    <w:rsid w:val="00AD0864"/>
    <w:rsid w:val="00AE2DA6"/>
    <w:rsid w:val="00B0324F"/>
    <w:rsid w:val="00B2277C"/>
    <w:rsid w:val="00B43B43"/>
    <w:rsid w:val="00B6189B"/>
    <w:rsid w:val="00B70F0F"/>
    <w:rsid w:val="00B94F91"/>
    <w:rsid w:val="00BA2661"/>
    <w:rsid w:val="00BB1E27"/>
    <w:rsid w:val="00BB621B"/>
    <w:rsid w:val="00BC4304"/>
    <w:rsid w:val="00BC48FF"/>
    <w:rsid w:val="00BD5332"/>
    <w:rsid w:val="00BE3046"/>
    <w:rsid w:val="00BF2B55"/>
    <w:rsid w:val="00BF6200"/>
    <w:rsid w:val="00C22967"/>
    <w:rsid w:val="00C44D09"/>
    <w:rsid w:val="00CA6121"/>
    <w:rsid w:val="00CD59CE"/>
    <w:rsid w:val="00D13502"/>
    <w:rsid w:val="00D24FFB"/>
    <w:rsid w:val="00D32C7F"/>
    <w:rsid w:val="00D42DCB"/>
    <w:rsid w:val="00D45276"/>
    <w:rsid w:val="00D70416"/>
    <w:rsid w:val="00DC655A"/>
    <w:rsid w:val="00DD6161"/>
    <w:rsid w:val="00DE652C"/>
    <w:rsid w:val="00DF2097"/>
    <w:rsid w:val="00DF6FDA"/>
    <w:rsid w:val="00E012E1"/>
    <w:rsid w:val="00E11E64"/>
    <w:rsid w:val="00E329C0"/>
    <w:rsid w:val="00E32CE2"/>
    <w:rsid w:val="00E363BB"/>
    <w:rsid w:val="00E50835"/>
    <w:rsid w:val="00E67EB4"/>
    <w:rsid w:val="00E729A8"/>
    <w:rsid w:val="00E845C2"/>
    <w:rsid w:val="00EC0B0B"/>
    <w:rsid w:val="00EC18A1"/>
    <w:rsid w:val="00EC7AE6"/>
    <w:rsid w:val="00EE0E66"/>
    <w:rsid w:val="00EE556C"/>
    <w:rsid w:val="00EE5B4F"/>
    <w:rsid w:val="00EF0DC4"/>
    <w:rsid w:val="00EF6308"/>
    <w:rsid w:val="00F012C9"/>
    <w:rsid w:val="00F12E8D"/>
    <w:rsid w:val="00F26A93"/>
    <w:rsid w:val="00F3598A"/>
    <w:rsid w:val="00F46190"/>
    <w:rsid w:val="00F46A0C"/>
    <w:rsid w:val="00F51B3A"/>
    <w:rsid w:val="00F60162"/>
    <w:rsid w:val="00F61EE1"/>
    <w:rsid w:val="00F700C8"/>
    <w:rsid w:val="00F82412"/>
    <w:rsid w:val="00F8348C"/>
    <w:rsid w:val="00F84248"/>
    <w:rsid w:val="00F87FD7"/>
    <w:rsid w:val="00F977B8"/>
    <w:rsid w:val="00FA008B"/>
    <w:rsid w:val="00FA0242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47053F-7A5B-4569-B6E6-B800F04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1829"/>
    <w:pPr>
      <w:ind w:left="720"/>
      <w:contextualSpacing/>
    </w:pPr>
  </w:style>
  <w:style w:type="table" w:styleId="a3">
    <w:name w:val="Table Grid"/>
    <w:basedOn w:val="a1"/>
    <w:rsid w:val="00167F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BE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locked/>
    <w:rsid w:val="00BE3046"/>
    <w:rPr>
      <w:rFonts w:cs="Times New Roman"/>
    </w:rPr>
  </w:style>
  <w:style w:type="paragraph" w:styleId="a6">
    <w:name w:val="footer"/>
    <w:basedOn w:val="a"/>
    <w:link w:val="a7"/>
    <w:uiPriority w:val="99"/>
    <w:rsid w:val="00BE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E3046"/>
    <w:rPr>
      <w:rFonts w:cs="Times New Roman"/>
    </w:rPr>
  </w:style>
  <w:style w:type="paragraph" w:styleId="a8">
    <w:name w:val="Balloon Text"/>
    <w:basedOn w:val="a"/>
    <w:link w:val="a9"/>
    <w:semiHidden/>
    <w:rsid w:val="004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4B60C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66680A"/>
    <w:rPr>
      <w:rFonts w:cs="Times New Roman"/>
      <w:color w:val="0000FF"/>
      <w:u w:val="single"/>
    </w:rPr>
  </w:style>
  <w:style w:type="paragraph" w:customStyle="1" w:styleId="white">
    <w:name w:val="white"/>
    <w:basedOn w:val="a"/>
    <w:rsid w:val="009A4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locked/>
    <w:rsid w:val="003B29D6"/>
    <w:rPr>
      <w:i/>
      <w:iCs/>
    </w:rPr>
  </w:style>
  <w:style w:type="character" w:styleId="ad">
    <w:name w:val="FollowedHyperlink"/>
    <w:basedOn w:val="a0"/>
    <w:rsid w:val="00F82412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locked/>
    <w:rsid w:val="00181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msummit.ru/pressa/s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rccgrou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msummit.ru/wp-content/uploads/2014/09/Tematicheskiy-plan-soveshhaniya-gubernatorov-na-10-MMH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95B0-4658-47AE-98D7-DC9FCFE6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 Московский международный химический саммит</vt:lpstr>
    </vt:vector>
  </TitlesOfParts>
  <Company>RePack by SPecialiST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Московский международный химический саммит</dc:title>
  <dc:creator>Катя</dc:creator>
  <cp:lastModifiedBy>Людмила Панкратова</cp:lastModifiedBy>
  <cp:revision>3</cp:revision>
  <cp:lastPrinted>2014-10-07T10:05:00Z</cp:lastPrinted>
  <dcterms:created xsi:type="dcterms:W3CDTF">2014-10-13T00:54:00Z</dcterms:created>
  <dcterms:modified xsi:type="dcterms:W3CDTF">2014-10-13T00:58:00Z</dcterms:modified>
</cp:coreProperties>
</file>